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E7" w:rsidRPr="007679F2" w:rsidRDefault="00046930">
      <w:pPr>
        <w:rPr>
          <w:rFonts w:ascii="Arial" w:hAnsi="Arial" w:cs="Arial"/>
          <w:b/>
          <w:u w:val="single"/>
        </w:rPr>
      </w:pPr>
    </w:p>
    <w:p w:rsidR="00EF763B" w:rsidRPr="007679F2" w:rsidRDefault="00046930" w:rsidP="00EF763B">
      <w:pPr>
        <w:spacing w:after="0" w:line="240" w:lineRule="auto"/>
        <w:rPr>
          <w:rFonts w:ascii="Arial" w:hAnsi="Arial" w:cs="Arial"/>
          <w:b/>
          <w:u w:val="single"/>
        </w:rPr>
      </w:pPr>
    </w:p>
    <w:p w:rsidR="00046930" w:rsidRPr="00046930" w:rsidRDefault="00046930" w:rsidP="00DD5601">
      <w:pPr>
        <w:pStyle w:val="NoSpacing"/>
        <w:jc w:val="both"/>
        <w:rPr>
          <w:rFonts w:ascii="Arial" w:hAnsi="Arial" w:cs="Arial"/>
          <w:b/>
        </w:rPr>
      </w:pPr>
      <w:r w:rsidRPr="00046930">
        <w:rPr>
          <w:rFonts w:ascii="Arial" w:hAnsi="Arial" w:cs="Arial"/>
          <w:b/>
        </w:rPr>
        <w:t>Appendix 'F'</w:t>
      </w:r>
    </w:p>
    <w:p w:rsidR="00046930" w:rsidRDefault="00046930" w:rsidP="00DD5601">
      <w:pPr>
        <w:pStyle w:val="NoSpacing"/>
        <w:jc w:val="both"/>
        <w:rPr>
          <w:rFonts w:ascii="Arial" w:hAnsi="Arial" w:cs="Arial"/>
          <w:b/>
          <w:u w:val="single"/>
        </w:rPr>
      </w:pPr>
    </w:p>
    <w:p w:rsidR="00DD5601" w:rsidRDefault="00046930" w:rsidP="00DD5601">
      <w:pPr>
        <w:pStyle w:val="NoSpacing"/>
        <w:jc w:val="both"/>
        <w:rPr>
          <w:rFonts w:ascii="Arial" w:hAnsi="Arial" w:cs="Arial"/>
          <w:b/>
          <w:u w:val="single"/>
        </w:rPr>
      </w:pPr>
      <w:r w:rsidRPr="00856E7E">
        <w:rPr>
          <w:rFonts w:ascii="Arial" w:hAnsi="Arial" w:cs="Arial"/>
          <w:b/>
          <w:u w:val="single"/>
        </w:rPr>
        <w:t xml:space="preserve">LEP – </w:t>
      </w:r>
      <w:r>
        <w:rPr>
          <w:rFonts w:ascii="Arial" w:hAnsi="Arial" w:cs="Arial"/>
          <w:b/>
          <w:u w:val="single"/>
        </w:rPr>
        <w:t xml:space="preserve">Warton Aviation Enterprise Zone </w:t>
      </w:r>
      <w:r w:rsidRPr="00856E7E">
        <w:rPr>
          <w:rFonts w:ascii="Arial" w:hAnsi="Arial" w:cs="Arial"/>
          <w:b/>
          <w:u w:val="single"/>
        </w:rPr>
        <w:t xml:space="preserve">– Lead </w:t>
      </w:r>
      <w:r>
        <w:rPr>
          <w:rFonts w:ascii="Arial" w:hAnsi="Arial" w:cs="Arial"/>
          <w:b/>
          <w:u w:val="single"/>
        </w:rPr>
        <w:t>Chris Dyson</w:t>
      </w:r>
    </w:p>
    <w:p w:rsidR="00AC1C19" w:rsidRPr="007679F2" w:rsidRDefault="00046930" w:rsidP="00DD5601">
      <w:pPr>
        <w:pStyle w:val="NoSpacing"/>
        <w:jc w:val="both"/>
        <w:rPr>
          <w:rFonts w:ascii="Arial" w:hAnsi="Arial" w:cs="Arial"/>
          <w:b/>
        </w:rPr>
      </w:pPr>
      <w:r w:rsidRPr="007679F2">
        <w:rPr>
          <w:rFonts w:ascii="Arial" w:hAnsi="Arial" w:cs="Arial"/>
        </w:rPr>
        <w:t xml:space="preserve"> </w:t>
      </w:r>
    </w:p>
    <w:p w:rsidR="005E6646" w:rsidRPr="007679F2" w:rsidRDefault="00046930" w:rsidP="00172DE7">
      <w:pPr>
        <w:spacing w:after="0"/>
        <w:jc w:val="both"/>
        <w:rPr>
          <w:rFonts w:ascii="Arial" w:hAnsi="Arial" w:cs="Arial"/>
          <w:b/>
        </w:rPr>
      </w:pPr>
      <w:r w:rsidRPr="007679F2">
        <w:rPr>
          <w:rFonts w:ascii="Arial" w:hAnsi="Arial" w:cs="Arial"/>
          <w:b/>
        </w:rPr>
        <w:t xml:space="preserve">Background </w:t>
      </w:r>
    </w:p>
    <w:p w:rsidR="005E6646" w:rsidRPr="007679F2" w:rsidRDefault="00046930" w:rsidP="00773911">
      <w:pPr>
        <w:jc w:val="both"/>
        <w:rPr>
          <w:rFonts w:ascii="Arial" w:hAnsi="Arial" w:cs="Arial"/>
          <w:b/>
        </w:rPr>
      </w:pPr>
      <w:r w:rsidRPr="007679F2">
        <w:rPr>
          <w:rFonts w:ascii="Arial" w:hAnsi="Arial" w:cs="Arial"/>
        </w:rPr>
        <w:t>In April 2012 the Government awarded Enterprise Zone status to the Lancashire Enterprise Zone which included the Samlesbury Aerospace and Warton Aviation Enterprise Zone Sites (WAEZ)</w:t>
      </w:r>
      <w:r w:rsidRPr="007679F2">
        <w:rPr>
          <w:rFonts w:ascii="Arial" w:hAnsi="Arial" w:cs="Arial"/>
        </w:rPr>
        <w:t>.</w:t>
      </w:r>
      <w:r w:rsidRPr="007679F2">
        <w:rPr>
          <w:rFonts w:ascii="Arial" w:hAnsi="Arial" w:cs="Arial"/>
          <w:b/>
        </w:rPr>
        <w:t xml:space="preserve"> </w:t>
      </w:r>
    </w:p>
    <w:p w:rsidR="00917A33" w:rsidRPr="007679F2" w:rsidRDefault="00046930" w:rsidP="00773911">
      <w:pPr>
        <w:jc w:val="both"/>
        <w:rPr>
          <w:rFonts w:ascii="Arial" w:hAnsi="Arial" w:cs="Arial"/>
          <w:b/>
        </w:rPr>
      </w:pPr>
      <w:r w:rsidRPr="007679F2">
        <w:rPr>
          <w:rFonts w:ascii="Arial" w:hAnsi="Arial" w:cs="Arial"/>
        </w:rPr>
        <w:t>The WAEZ has a masterplan and a ten-year Local Development Ord</w:t>
      </w:r>
      <w:bookmarkStart w:id="0" w:name="_GoBack"/>
      <w:bookmarkEnd w:id="0"/>
      <w:r w:rsidRPr="007679F2">
        <w:rPr>
          <w:rFonts w:ascii="Arial" w:hAnsi="Arial" w:cs="Arial"/>
        </w:rPr>
        <w:t>er in place for the site. The Enterprise Zone has two companies, Accenture and Trescal who have been in occupation at the site since 2015</w:t>
      </w:r>
      <w:r>
        <w:rPr>
          <w:rFonts w:ascii="Arial" w:hAnsi="Arial" w:cs="Arial"/>
        </w:rPr>
        <w:t>.</w:t>
      </w:r>
    </w:p>
    <w:p w:rsidR="00972FEA" w:rsidRPr="007679F2" w:rsidRDefault="00046930" w:rsidP="00773911">
      <w:pPr>
        <w:jc w:val="both"/>
        <w:rPr>
          <w:rFonts w:ascii="Arial" w:hAnsi="Arial" w:cs="Arial"/>
        </w:rPr>
      </w:pPr>
      <w:r w:rsidRPr="007679F2">
        <w:rPr>
          <w:rFonts w:ascii="Arial" w:hAnsi="Arial" w:cs="Arial"/>
        </w:rPr>
        <w:t xml:space="preserve">Senior officers from the county council and BAE are </w:t>
      </w:r>
      <w:r w:rsidRPr="007679F2">
        <w:rPr>
          <w:rFonts w:ascii="Arial" w:hAnsi="Arial" w:cs="Arial"/>
        </w:rPr>
        <w:t>continuing to discuss opportunities at WAEZ to build and complement on the current high value activity at SAEZ to support the development of Lancashire's Local Industrial Strategy.</w:t>
      </w:r>
    </w:p>
    <w:p w:rsidR="00972FEA" w:rsidRPr="007679F2" w:rsidRDefault="00046930" w:rsidP="00972FEA">
      <w:pPr>
        <w:jc w:val="both"/>
        <w:rPr>
          <w:rFonts w:ascii="Arial" w:hAnsi="Arial" w:cs="Arial"/>
        </w:rPr>
      </w:pPr>
      <w:r w:rsidRPr="007679F2">
        <w:rPr>
          <w:rFonts w:ascii="Arial" w:hAnsi="Arial" w:cs="Arial"/>
        </w:rPr>
        <w:t>In April 2020 as part of an emergency response to coronavirus pandemic, the</w:t>
      </w:r>
      <w:r w:rsidRPr="007679F2">
        <w:rPr>
          <w:rFonts w:ascii="Arial" w:hAnsi="Arial" w:cs="Arial"/>
        </w:rPr>
        <w:t xml:space="preserve"> county council in partnership with BAE constructed a temporary Central Resilience Facility to aid with managing any potential excess deaths due to the virus.</w:t>
      </w:r>
    </w:p>
    <w:p w:rsidR="00972FEA" w:rsidRPr="007679F2" w:rsidRDefault="00046930" w:rsidP="000D7C58">
      <w:pPr>
        <w:jc w:val="both"/>
        <w:rPr>
          <w:rFonts w:ascii="Arial" w:hAnsi="Arial" w:cs="Arial"/>
        </w:rPr>
      </w:pPr>
      <w:r w:rsidRPr="007679F2">
        <w:rPr>
          <w:rFonts w:ascii="Arial" w:hAnsi="Arial" w:cs="Arial"/>
        </w:rPr>
        <w:t>The facility was bu</w:t>
      </w:r>
      <w:r>
        <w:rPr>
          <w:rFonts w:ascii="Arial" w:hAnsi="Arial" w:cs="Arial"/>
        </w:rPr>
        <w:t>ilt in an eight-day period and wa</w:t>
      </w:r>
      <w:r w:rsidRPr="007679F2">
        <w:rPr>
          <w:rFonts w:ascii="Arial" w:hAnsi="Arial" w:cs="Arial"/>
        </w:rPr>
        <w:t xml:space="preserve">s ready to be operational </w:t>
      </w:r>
      <w:r>
        <w:rPr>
          <w:rFonts w:ascii="Arial" w:hAnsi="Arial" w:cs="Arial"/>
        </w:rPr>
        <w:t>if required. As dea</w:t>
      </w:r>
      <w:r>
        <w:rPr>
          <w:rFonts w:ascii="Arial" w:hAnsi="Arial" w:cs="Arial"/>
        </w:rPr>
        <w:t>th rates decreased from earlier projections t</w:t>
      </w:r>
      <w:r w:rsidRPr="007679F2">
        <w:rPr>
          <w:rFonts w:ascii="Arial" w:hAnsi="Arial" w:cs="Arial"/>
        </w:rPr>
        <w:t>he facility was mothballed in M</w:t>
      </w:r>
      <w:r>
        <w:rPr>
          <w:rFonts w:ascii="Arial" w:hAnsi="Arial" w:cs="Arial"/>
        </w:rPr>
        <w:t>ay 2020 and is now in the process of being decommissioned (to be completed by the 13 September) by the county council working closely with partners BAE systems.</w:t>
      </w:r>
    </w:p>
    <w:p w:rsidR="003B5FE7" w:rsidRPr="007679F2" w:rsidRDefault="00046930" w:rsidP="00172DE7">
      <w:pPr>
        <w:spacing w:after="0"/>
        <w:jc w:val="both"/>
        <w:rPr>
          <w:rFonts w:ascii="Arial" w:hAnsi="Arial" w:cs="Arial"/>
          <w:b/>
        </w:rPr>
      </w:pPr>
      <w:r w:rsidRPr="007679F2">
        <w:rPr>
          <w:rFonts w:ascii="Arial" w:hAnsi="Arial" w:cs="Arial"/>
          <w:b/>
        </w:rPr>
        <w:t>KPIs and Milestones</w:t>
      </w:r>
    </w:p>
    <w:p w:rsidR="00172DE7" w:rsidRPr="007679F2" w:rsidRDefault="00046930" w:rsidP="00172DE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8"/>
        <w:gridCol w:w="3545"/>
        <w:gridCol w:w="4106"/>
      </w:tblGrid>
      <w:tr w:rsidR="00BA78CD" w:rsidTr="003B28DB">
        <w:tc>
          <w:tcPr>
            <w:tcW w:w="1027" w:type="pct"/>
          </w:tcPr>
          <w:p w:rsidR="003B28DB" w:rsidRPr="007679F2" w:rsidRDefault="00046930" w:rsidP="00CF3559">
            <w:pPr>
              <w:jc w:val="both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Business</w:t>
            </w:r>
          </w:p>
        </w:tc>
        <w:tc>
          <w:tcPr>
            <w:tcW w:w="1841" w:type="pct"/>
          </w:tcPr>
          <w:p w:rsidR="003B28DB" w:rsidRPr="007679F2" w:rsidRDefault="00046930" w:rsidP="00396D2B">
            <w:pPr>
              <w:jc w:val="center"/>
              <w:rPr>
                <w:rFonts w:ascii="Arial" w:hAnsi="Arial" w:cs="Arial"/>
                <w:b/>
              </w:rPr>
            </w:pPr>
            <w:r w:rsidRPr="007679F2">
              <w:rPr>
                <w:rFonts w:ascii="Arial" w:hAnsi="Arial" w:cs="Arial"/>
                <w:b/>
              </w:rPr>
              <w:t>Trescal</w:t>
            </w:r>
          </w:p>
        </w:tc>
        <w:tc>
          <w:tcPr>
            <w:tcW w:w="2132" w:type="pct"/>
          </w:tcPr>
          <w:p w:rsidR="003B28DB" w:rsidRPr="007679F2" w:rsidRDefault="00046930" w:rsidP="00396D2B">
            <w:pPr>
              <w:jc w:val="center"/>
              <w:rPr>
                <w:rFonts w:ascii="Arial" w:hAnsi="Arial" w:cs="Arial"/>
                <w:b/>
              </w:rPr>
            </w:pPr>
            <w:r w:rsidRPr="007679F2">
              <w:rPr>
                <w:rFonts w:ascii="Arial" w:hAnsi="Arial" w:cs="Arial"/>
                <w:b/>
              </w:rPr>
              <w:t>Accenture</w:t>
            </w:r>
          </w:p>
        </w:tc>
      </w:tr>
      <w:tr w:rsidR="00BA78CD" w:rsidTr="003B28DB">
        <w:tc>
          <w:tcPr>
            <w:tcW w:w="1027" w:type="pct"/>
          </w:tcPr>
          <w:p w:rsidR="003B28DB" w:rsidRPr="007679F2" w:rsidRDefault="00046930" w:rsidP="00CF3559">
            <w:pPr>
              <w:jc w:val="both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Operational Date</w:t>
            </w:r>
          </w:p>
        </w:tc>
        <w:tc>
          <w:tcPr>
            <w:tcW w:w="1841" w:type="pct"/>
          </w:tcPr>
          <w:p w:rsidR="003B28DB" w:rsidRPr="007679F2" w:rsidRDefault="00046930" w:rsidP="00396D2B">
            <w:pPr>
              <w:jc w:val="center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2015</w:t>
            </w:r>
          </w:p>
        </w:tc>
        <w:tc>
          <w:tcPr>
            <w:tcW w:w="2132" w:type="pct"/>
          </w:tcPr>
          <w:p w:rsidR="003B28DB" w:rsidRPr="007679F2" w:rsidRDefault="00046930" w:rsidP="00396D2B">
            <w:pPr>
              <w:jc w:val="center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2015</w:t>
            </w:r>
          </w:p>
        </w:tc>
      </w:tr>
      <w:tr w:rsidR="00BA78CD" w:rsidTr="003B28DB">
        <w:tc>
          <w:tcPr>
            <w:tcW w:w="1027" w:type="pct"/>
          </w:tcPr>
          <w:p w:rsidR="003B28DB" w:rsidRPr="007679F2" w:rsidRDefault="00046930" w:rsidP="00CF3559">
            <w:pPr>
              <w:jc w:val="both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Circa Jobs</w:t>
            </w:r>
          </w:p>
        </w:tc>
        <w:tc>
          <w:tcPr>
            <w:tcW w:w="1841" w:type="pct"/>
          </w:tcPr>
          <w:p w:rsidR="003B28DB" w:rsidRPr="007679F2" w:rsidRDefault="00046930" w:rsidP="00396D2B">
            <w:pPr>
              <w:jc w:val="center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6</w:t>
            </w:r>
          </w:p>
        </w:tc>
        <w:tc>
          <w:tcPr>
            <w:tcW w:w="2132" w:type="pct"/>
          </w:tcPr>
          <w:p w:rsidR="003B28DB" w:rsidRPr="007679F2" w:rsidRDefault="00046930" w:rsidP="00B0527D">
            <w:pPr>
              <w:jc w:val="center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1 permanent officer and up to 12 officers  a week use as hot desk</w:t>
            </w:r>
          </w:p>
        </w:tc>
      </w:tr>
      <w:tr w:rsidR="00BA78CD" w:rsidTr="003B28DB">
        <w:tc>
          <w:tcPr>
            <w:tcW w:w="1027" w:type="pct"/>
          </w:tcPr>
          <w:p w:rsidR="003B28DB" w:rsidRPr="007679F2" w:rsidRDefault="00046930" w:rsidP="00CF3559">
            <w:pPr>
              <w:jc w:val="both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Area m2</w:t>
            </w:r>
          </w:p>
        </w:tc>
        <w:tc>
          <w:tcPr>
            <w:tcW w:w="1841" w:type="pct"/>
          </w:tcPr>
          <w:p w:rsidR="003B28DB" w:rsidRPr="007679F2" w:rsidRDefault="00046930" w:rsidP="007679F2">
            <w:pPr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Existing BAE accommodation</w:t>
            </w:r>
          </w:p>
        </w:tc>
        <w:tc>
          <w:tcPr>
            <w:tcW w:w="2132" w:type="pct"/>
          </w:tcPr>
          <w:p w:rsidR="003B28DB" w:rsidRPr="007679F2" w:rsidRDefault="00046930" w:rsidP="00396D2B">
            <w:pPr>
              <w:jc w:val="center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Existing BAE accommodation</w:t>
            </w:r>
          </w:p>
        </w:tc>
      </w:tr>
      <w:tr w:rsidR="00BA78CD" w:rsidTr="003B28DB">
        <w:tc>
          <w:tcPr>
            <w:tcW w:w="1027" w:type="pct"/>
          </w:tcPr>
          <w:p w:rsidR="003B28DB" w:rsidRPr="007679F2" w:rsidRDefault="00046930" w:rsidP="00CF3559">
            <w:pPr>
              <w:jc w:val="both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Circa Investment</w:t>
            </w:r>
          </w:p>
        </w:tc>
        <w:tc>
          <w:tcPr>
            <w:tcW w:w="1841" w:type="pct"/>
          </w:tcPr>
          <w:p w:rsidR="003B28DB" w:rsidRPr="007679F2" w:rsidRDefault="00046930" w:rsidP="007679F2">
            <w:pPr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Existing BAE accommodation</w:t>
            </w:r>
          </w:p>
        </w:tc>
        <w:tc>
          <w:tcPr>
            <w:tcW w:w="2132" w:type="pct"/>
          </w:tcPr>
          <w:p w:rsidR="003B28DB" w:rsidRPr="007679F2" w:rsidRDefault="00046930" w:rsidP="00396D2B">
            <w:pPr>
              <w:jc w:val="center"/>
              <w:rPr>
                <w:rFonts w:ascii="Arial" w:hAnsi="Arial" w:cs="Arial"/>
              </w:rPr>
            </w:pPr>
            <w:r w:rsidRPr="007679F2">
              <w:rPr>
                <w:rFonts w:ascii="Arial" w:hAnsi="Arial" w:cs="Arial"/>
              </w:rPr>
              <w:t>Existing</w:t>
            </w:r>
            <w:r w:rsidRPr="007679F2">
              <w:rPr>
                <w:rFonts w:ascii="Arial" w:hAnsi="Arial" w:cs="Arial"/>
              </w:rPr>
              <w:t xml:space="preserve"> BAE accommodation</w:t>
            </w:r>
          </w:p>
        </w:tc>
      </w:tr>
    </w:tbl>
    <w:p w:rsidR="00C965F3" w:rsidRPr="007679F2" w:rsidRDefault="00046930" w:rsidP="003B44C4">
      <w:pPr>
        <w:rPr>
          <w:rFonts w:ascii="Arial" w:hAnsi="Arial" w:cs="Arial"/>
        </w:rPr>
      </w:pPr>
    </w:p>
    <w:p w:rsidR="0087243E" w:rsidRPr="007679F2" w:rsidRDefault="00046930" w:rsidP="007679F2">
      <w:pPr>
        <w:spacing w:after="0"/>
        <w:jc w:val="both"/>
        <w:rPr>
          <w:rFonts w:ascii="Arial" w:hAnsi="Arial" w:cs="Arial"/>
          <w:b/>
        </w:rPr>
      </w:pPr>
      <w:r w:rsidRPr="007679F2">
        <w:rPr>
          <w:rFonts w:ascii="Arial" w:hAnsi="Arial" w:cs="Arial"/>
          <w:b/>
        </w:rPr>
        <w:t xml:space="preserve">Risk and Issues </w:t>
      </w:r>
    </w:p>
    <w:p w:rsidR="007679F2" w:rsidRDefault="00046930" w:rsidP="007679F2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BA78CD" w:rsidTr="00945D41">
        <w:tc>
          <w:tcPr>
            <w:tcW w:w="4673" w:type="dxa"/>
          </w:tcPr>
          <w:p w:rsidR="00945D41" w:rsidRDefault="00046930" w:rsidP="004620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Opportunities, </w:t>
            </w:r>
            <w:r w:rsidRPr="000F5DAD">
              <w:rPr>
                <w:rFonts w:ascii="Arial" w:hAnsi="Arial" w:cs="Arial"/>
                <w:b/>
              </w:rPr>
              <w:t xml:space="preserve">Risk and Issues </w:t>
            </w:r>
          </w:p>
        </w:tc>
        <w:tc>
          <w:tcPr>
            <w:tcW w:w="4961" w:type="dxa"/>
          </w:tcPr>
          <w:p w:rsidR="00945D41" w:rsidRDefault="00046930" w:rsidP="004620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Mitigation and Actions</w:t>
            </w:r>
          </w:p>
        </w:tc>
      </w:tr>
      <w:tr w:rsidR="00BA78CD" w:rsidTr="00945D41">
        <w:tc>
          <w:tcPr>
            <w:tcW w:w="4673" w:type="dxa"/>
          </w:tcPr>
          <w:p w:rsidR="00945D41" w:rsidRPr="0008592F" w:rsidRDefault="00046930" w:rsidP="00B20985">
            <w:pPr>
              <w:jc w:val="both"/>
              <w:rPr>
                <w:rFonts w:ascii="Arial" w:hAnsi="Arial" w:cs="Arial"/>
              </w:rPr>
            </w:pPr>
            <w:r w:rsidRPr="00945D41">
              <w:rPr>
                <w:rFonts w:ascii="Arial" w:hAnsi="Arial" w:cs="Arial"/>
              </w:rPr>
              <w:t xml:space="preserve">Partner's concerted focus has been upon the Samlesbury Aerospace Enterprise Zone, which is segregated from BAE's Operational </w:t>
            </w:r>
            <w:r>
              <w:rPr>
                <w:rFonts w:ascii="Arial" w:hAnsi="Arial" w:cs="Arial"/>
              </w:rPr>
              <w:t>s</w:t>
            </w:r>
            <w:r w:rsidRPr="00945D41">
              <w:rPr>
                <w:rFonts w:ascii="Arial" w:hAnsi="Arial" w:cs="Arial"/>
              </w:rPr>
              <w:t>ite.</w:t>
            </w:r>
          </w:p>
        </w:tc>
        <w:tc>
          <w:tcPr>
            <w:tcW w:w="4961" w:type="dxa"/>
          </w:tcPr>
          <w:p w:rsidR="00945D41" w:rsidRPr="004255EE" w:rsidRDefault="00046930" w:rsidP="00B20985">
            <w:pPr>
              <w:jc w:val="both"/>
              <w:rPr>
                <w:rFonts w:ascii="Arial" w:hAnsi="Arial" w:cs="Arial"/>
              </w:rPr>
            </w:pPr>
            <w:r w:rsidRPr="00945D41">
              <w:rPr>
                <w:rFonts w:ascii="Arial" w:hAnsi="Arial" w:cs="Arial"/>
              </w:rPr>
              <w:t xml:space="preserve">Senior officers from the </w:t>
            </w:r>
            <w:r w:rsidRPr="00945D41">
              <w:rPr>
                <w:rFonts w:ascii="Arial" w:hAnsi="Arial" w:cs="Arial"/>
              </w:rPr>
              <w:t>county council and BAE are continuing to discuss opportunities at WAEZ to build and complement on the current high value activity at SAEZ</w:t>
            </w:r>
            <w:r>
              <w:rPr>
                <w:rFonts w:ascii="Arial" w:hAnsi="Arial" w:cs="Arial"/>
              </w:rPr>
              <w:t>.</w:t>
            </w:r>
          </w:p>
        </w:tc>
      </w:tr>
      <w:tr w:rsidR="00BA78CD" w:rsidTr="00945D41">
        <w:tc>
          <w:tcPr>
            <w:tcW w:w="4673" w:type="dxa"/>
          </w:tcPr>
          <w:p w:rsidR="00945D41" w:rsidRPr="00945D41" w:rsidRDefault="00046930" w:rsidP="00B20985">
            <w:pPr>
              <w:jc w:val="both"/>
              <w:rPr>
                <w:rFonts w:ascii="Arial" w:hAnsi="Arial" w:cs="Arial"/>
              </w:rPr>
            </w:pPr>
            <w:r w:rsidRPr="00945D41">
              <w:rPr>
                <w:rFonts w:ascii="Arial" w:hAnsi="Arial" w:cs="Arial"/>
              </w:rPr>
              <w:t>The Warton Aviation EZ is located within the BAE Warton operational site and as such currently restricts potential o</w:t>
            </w:r>
            <w:r w:rsidRPr="00945D41">
              <w:rPr>
                <w:rFonts w:ascii="Arial" w:hAnsi="Arial" w:cs="Arial"/>
              </w:rPr>
              <w:t>ccupants with a requirement to be within existing BAE supply chain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61" w:type="dxa"/>
          </w:tcPr>
          <w:p w:rsidR="00945D41" w:rsidRPr="00945D41" w:rsidRDefault="00046930" w:rsidP="00B20985">
            <w:pPr>
              <w:jc w:val="both"/>
              <w:rPr>
                <w:rFonts w:ascii="Arial" w:hAnsi="Arial" w:cs="Arial"/>
              </w:rPr>
            </w:pPr>
            <w:r w:rsidRPr="00945D41">
              <w:rPr>
                <w:rFonts w:ascii="Arial" w:hAnsi="Arial" w:cs="Arial"/>
              </w:rPr>
              <w:t>Whilst strategic discussions have been initiated, there is a requirement to consider the longer term potential and opportunity at Warton through further dialogue between partners.</w:t>
            </w:r>
          </w:p>
        </w:tc>
      </w:tr>
    </w:tbl>
    <w:p w:rsidR="00945D41" w:rsidRPr="007679F2" w:rsidRDefault="00046930" w:rsidP="007679F2">
      <w:pPr>
        <w:spacing w:after="0"/>
        <w:jc w:val="both"/>
        <w:rPr>
          <w:rFonts w:ascii="Arial" w:hAnsi="Arial" w:cs="Arial"/>
          <w:b/>
        </w:rPr>
      </w:pPr>
    </w:p>
    <w:p w:rsidR="003B28DB" w:rsidRPr="007679F2" w:rsidRDefault="00046930" w:rsidP="00C965F3">
      <w:pPr>
        <w:jc w:val="both"/>
        <w:rPr>
          <w:rFonts w:ascii="Arial" w:hAnsi="Arial" w:cs="Arial"/>
        </w:rPr>
      </w:pPr>
    </w:p>
    <w:p w:rsidR="00CB3078" w:rsidRPr="00C965F3" w:rsidRDefault="00046930" w:rsidP="00C965F3">
      <w:pPr>
        <w:jc w:val="both"/>
        <w:rPr>
          <w:rFonts w:ascii="Arial" w:hAnsi="Arial" w:cs="Arial"/>
        </w:rPr>
      </w:pPr>
    </w:p>
    <w:sectPr w:rsidR="00CB3078" w:rsidRPr="00C965F3" w:rsidSect="005E6646">
      <w:headerReference w:type="default" r:id="rId7"/>
      <w:pgSz w:w="11906" w:h="16838"/>
      <w:pgMar w:top="709" w:right="991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6930">
      <w:pPr>
        <w:spacing w:after="0" w:line="240" w:lineRule="auto"/>
      </w:pPr>
      <w:r>
        <w:separator/>
      </w:r>
    </w:p>
  </w:endnote>
  <w:endnote w:type="continuationSeparator" w:id="0">
    <w:p w:rsidR="00000000" w:rsidRDefault="0004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6930">
      <w:pPr>
        <w:spacing w:after="0" w:line="240" w:lineRule="auto"/>
      </w:pPr>
      <w:r>
        <w:separator/>
      </w:r>
    </w:p>
  </w:footnote>
  <w:footnote w:type="continuationSeparator" w:id="0">
    <w:p w:rsidR="00000000" w:rsidRDefault="0004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E7" w:rsidRDefault="000469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899279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485"/>
    <w:multiLevelType w:val="hybridMultilevel"/>
    <w:tmpl w:val="0ECC22FE"/>
    <w:lvl w:ilvl="0" w:tplc="59C8C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E8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45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2C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A2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7A5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AA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424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60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163"/>
    <w:multiLevelType w:val="hybridMultilevel"/>
    <w:tmpl w:val="380A4B2E"/>
    <w:lvl w:ilvl="0" w:tplc="8A567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420D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98CE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C832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2EB6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E2C4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4039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38BA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EA5D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C15E7"/>
    <w:multiLevelType w:val="hybridMultilevel"/>
    <w:tmpl w:val="DEA01E40"/>
    <w:lvl w:ilvl="0" w:tplc="80B64D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30A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AA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7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8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82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6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684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27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C9B"/>
    <w:multiLevelType w:val="hybridMultilevel"/>
    <w:tmpl w:val="B532CAB4"/>
    <w:lvl w:ilvl="0" w:tplc="129E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83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8A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2E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A5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6B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A3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0C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2B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67FF"/>
    <w:multiLevelType w:val="hybridMultilevel"/>
    <w:tmpl w:val="E2F0B7DA"/>
    <w:lvl w:ilvl="0" w:tplc="9CFA9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CA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60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2E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2C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2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8D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A1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D"/>
    <w:rsid w:val="00046930"/>
    <w:rsid w:val="00B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20E6"/>
  <w15:docId w15:val="{10B1773A-9D08-48F3-B300-2DF035C0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paragraph" w:styleId="NoSpacing">
    <w:name w:val="No Spacing"/>
    <w:uiPriority w:val="1"/>
    <w:qFormat/>
    <w:rsid w:val="00DD5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Milroy, Andy</cp:lastModifiedBy>
  <cp:revision>6</cp:revision>
  <dcterms:created xsi:type="dcterms:W3CDTF">2020-09-02T17:05:00Z</dcterms:created>
  <dcterms:modified xsi:type="dcterms:W3CDTF">2020-09-23T11:37:00Z</dcterms:modified>
</cp:coreProperties>
</file>